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C34A" w14:textId="02EF5C6D" w:rsidR="00E411FE" w:rsidRPr="00E13633" w:rsidRDefault="00E411FE" w:rsidP="005C3651">
      <w:pPr>
        <w:pStyle w:val="Header"/>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011A6F" w:rsidRPr="00011A6F">
        <w:rPr>
          <w:rFonts w:cs="Arial"/>
          <w:sz w:val="24"/>
          <w:szCs w:val="24"/>
        </w:rPr>
        <w:t>R4-2218139</w:t>
      </w:r>
    </w:p>
    <w:p w14:paraId="0A1DBE22" w14:textId="77777777" w:rsidR="00E411FE" w:rsidRPr="00E13633" w:rsidRDefault="00E411FE" w:rsidP="00E411F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F299EB5" w:rsidR="001E41F3" w:rsidRPr="000F1816" w:rsidRDefault="00011A6F" w:rsidP="00547111">
            <w:pPr>
              <w:pStyle w:val="CRCoverPage"/>
              <w:spacing w:after="0"/>
              <w:rPr>
                <w:b/>
                <w:noProof/>
                <w:sz w:val="28"/>
              </w:rPr>
            </w:pPr>
            <w:r>
              <w:rPr>
                <w:b/>
                <w:noProof/>
                <w:sz w:val="28"/>
              </w:rPr>
              <w:t>2665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BE06" w:rsidR="001E41F3" w:rsidRDefault="00E411FE">
            <w:pPr>
              <w:pStyle w:val="CRCoverPage"/>
              <w:spacing w:after="0"/>
              <w:ind w:left="100"/>
              <w:rPr>
                <w:noProof/>
              </w:rPr>
            </w:pPr>
            <w:r w:rsidRPr="00E411FE">
              <w:t xml:space="preserve">CR on CG-SDT with </w:t>
            </w:r>
            <w:proofErr w:type="spellStart"/>
            <w:r w:rsidRPr="00E411FE">
              <w:t>RedCap</w:t>
            </w:r>
            <w:proofErr w:type="spellEnd"/>
            <w:r w:rsidRPr="00E411FE">
              <w:t xml:space="preserve"> </w:t>
            </w:r>
            <w:proofErr w:type="spellStart"/>
            <w:r w:rsidRPr="00E411FE">
              <w:t>eDRX</w:t>
            </w:r>
            <w:proofErr w:type="spellEnd"/>
            <w:r w:rsidRPr="00E411FE">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8086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E411FE" w:rsidRPr="00E411FE">
              <w:rPr>
                <w:rFonts w:cs="Arial"/>
                <w:sz w:val="21"/>
                <w:szCs w:val="21"/>
                <w:lang w:eastAsia="ja-JP"/>
              </w:rPr>
              <w:t>NR_redcap</w:t>
            </w:r>
            <w:proofErr w:type="spellEnd"/>
            <w:r w:rsidR="00E411FE" w:rsidRPr="00E411FE">
              <w:rPr>
                <w:rFonts w:cs="Arial"/>
                <w:sz w:val="21"/>
                <w:szCs w:val="21"/>
                <w:lang w:eastAsia="ja-JP"/>
              </w:rPr>
              <w:t>-Core</w:t>
            </w:r>
            <w:r w:rsidR="00B95CB4" w:rsidRPr="00B95CB4">
              <w:rPr>
                <w:rFonts w:cs="Arial"/>
                <w:sz w:val="21"/>
                <w:szCs w:val="21"/>
                <w:lang w:eastAsia="ja-JP"/>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FD5F" w:rsidR="001E41F3" w:rsidRDefault="00000000">
            <w:pPr>
              <w:pStyle w:val="CRCoverPage"/>
              <w:spacing w:after="0"/>
              <w:ind w:left="100"/>
              <w:rPr>
                <w:noProof/>
              </w:rPr>
            </w:pPr>
            <w:fldSimple w:instr=" DOCPROPERTY  ResDate  \* MERGEFORMAT ">
              <w:r w:rsidR="0096511B">
                <w:rPr>
                  <w:noProof/>
                </w:rPr>
                <w:t>2022-</w:t>
              </w:r>
              <w:r w:rsidR="00E411FE">
                <w:rPr>
                  <w:noProof/>
                </w:rPr>
                <w:t>11</w:t>
              </w:r>
              <w:r w:rsidR="0096511B">
                <w:rPr>
                  <w:noProof/>
                </w:rPr>
                <w:t>-</w:t>
              </w:r>
              <w:r w:rsidR="00E411F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26197"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 xml:space="preserve">Regarding FR1, since in </w:t>
            </w:r>
            <w:proofErr w:type="spellStart"/>
            <w:r w:rsidRPr="00E411FE">
              <w:rPr>
                <w:rFonts w:ascii="Arial" w:hAnsi="Arial" w:cs="Arial"/>
                <w:sz w:val="20"/>
                <w:szCs w:val="20"/>
              </w:rPr>
              <w:t>RedCap</w:t>
            </w:r>
            <w:proofErr w:type="spellEnd"/>
            <w:r w:rsidRPr="00E411FE">
              <w:rPr>
                <w:rFonts w:ascii="Arial" w:hAnsi="Arial" w:cs="Arial"/>
                <w:sz w:val="20"/>
                <w:szCs w:val="20"/>
              </w:rPr>
              <w:t xml:space="preserve"> inactive mode the serving cell measurement period is specified based on T in table </w:t>
            </w:r>
            <w:proofErr w:type="spellStart"/>
            <w:r w:rsidRPr="00E411FE">
              <w:rPr>
                <w:rFonts w:ascii="Arial" w:hAnsi="Arial" w:cs="Arial"/>
                <w:sz w:val="20"/>
                <w:szCs w:val="20"/>
              </w:rPr>
              <w:t>Table</w:t>
            </w:r>
            <w:proofErr w:type="spellEnd"/>
            <w:r w:rsidRPr="00E411FE">
              <w:rPr>
                <w:rFonts w:ascii="Arial" w:hAnsi="Arial" w:cs="Arial"/>
                <w:sz w:val="20"/>
                <w:szCs w:val="20"/>
              </w:rPr>
              <w:t xml:space="preserve"> 5.1B.2.2-1, the TA validation requirement shall also be based on T instead of T</w:t>
            </w:r>
            <w:r w:rsidRPr="00E411FE">
              <w:rPr>
                <w:rFonts w:ascii="Arial" w:hAnsi="Arial" w:cs="Arial"/>
                <w:sz w:val="20"/>
                <w:szCs w:val="20"/>
                <w:vertAlign w:val="subscript"/>
              </w:rPr>
              <w:t>DRX</w:t>
            </w:r>
            <w:r w:rsidRPr="00E411FE">
              <w:rPr>
                <w:rFonts w:ascii="Arial" w:hAnsi="Arial" w:cs="Arial"/>
                <w:sz w:val="20"/>
                <w:szCs w:val="20"/>
              </w:rPr>
              <w:t>.</w:t>
            </w:r>
          </w:p>
          <w:p w14:paraId="272ADB90" w14:textId="77777777" w:rsidR="00E411FE" w:rsidRDefault="00E411FE" w:rsidP="00E411FE">
            <w:pPr>
              <w:pStyle w:val="TH"/>
              <w:rPr>
                <w:rFonts w:cs="v4.2.0"/>
              </w:rPr>
            </w:pPr>
            <w:r>
              <w:rPr>
                <w:rFonts w:cs="v4.2.0"/>
              </w:rPr>
              <w:t xml:space="preserve">Table </w:t>
            </w:r>
            <w:r>
              <w:t>5.1B.2.2</w:t>
            </w:r>
            <w:r>
              <w:rPr>
                <w:rFonts w:cs="v4.2.0"/>
              </w:rPr>
              <w:t xml:space="preserve">-1: </w:t>
            </w:r>
            <w:proofErr w:type="spellStart"/>
            <w:r>
              <w:rPr>
                <w:rFonts w:cs="v4.2.0"/>
              </w:rPr>
              <w:t>N</w:t>
            </w:r>
            <w:r>
              <w:rPr>
                <w:rFonts w:cs="v4.2.0"/>
                <w:vertAlign w:val="subscript"/>
              </w:rPr>
              <w:t>serv_RedCap</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t>(Frequency range FR1)</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632"/>
              <w:gridCol w:w="1022"/>
              <w:gridCol w:w="939"/>
            </w:tblGrid>
            <w:tr w:rsidR="00E411FE" w14:paraId="5A4224F3" w14:textId="77777777" w:rsidTr="00E411FE">
              <w:trPr>
                <w:cantSplit/>
                <w:trHeight w:val="628"/>
              </w:trPr>
              <w:tc>
                <w:tcPr>
                  <w:tcW w:w="1543" w:type="pct"/>
                  <w:tcBorders>
                    <w:top w:val="single" w:sz="4" w:space="0" w:color="auto"/>
                    <w:left w:val="single" w:sz="4" w:space="0" w:color="auto"/>
                    <w:bottom w:val="single" w:sz="4" w:space="0" w:color="auto"/>
                    <w:right w:val="single" w:sz="4" w:space="0" w:color="auto"/>
                  </w:tcBorders>
                  <w:hideMark/>
                </w:tcPr>
                <w:p w14:paraId="3235E09B" w14:textId="77777777" w:rsidR="00E411FE" w:rsidRDefault="00E411FE" w:rsidP="00E411FE">
                  <w:pPr>
                    <w:pStyle w:val="TAH"/>
                    <w:rPr>
                      <w:rFonts w:cs="v4.2.0"/>
                    </w:rPr>
                  </w:pPr>
                  <w:proofErr w:type="spellStart"/>
                  <w:r>
                    <w:rPr>
                      <w:rFonts w:cs="v4.2.0"/>
                    </w:rPr>
                    <w:t>eDRX_IDLE</w:t>
                  </w:r>
                  <w:proofErr w:type="spellEnd"/>
                  <w:r>
                    <w:rPr>
                      <w:rFonts w:cs="v4.2.0"/>
                    </w:rPr>
                    <w:t xml:space="preserve"> cycle length [s]</w:t>
                  </w:r>
                </w:p>
              </w:tc>
              <w:tc>
                <w:tcPr>
                  <w:tcW w:w="1981" w:type="pct"/>
                  <w:tcBorders>
                    <w:top w:val="single" w:sz="4" w:space="0" w:color="auto"/>
                    <w:left w:val="nil"/>
                    <w:bottom w:val="single" w:sz="4" w:space="0" w:color="auto"/>
                    <w:right w:val="single" w:sz="4" w:space="0" w:color="auto"/>
                  </w:tcBorders>
                  <w:hideMark/>
                </w:tcPr>
                <w:p w14:paraId="57F6641D" w14:textId="77777777" w:rsidR="00E411FE" w:rsidRDefault="00E411FE" w:rsidP="00E411FE">
                  <w:pPr>
                    <w:pStyle w:val="TAH"/>
                    <w:rPr>
                      <w:rFonts w:cs="Arial"/>
                    </w:rPr>
                  </w:pPr>
                  <w:r>
                    <w:rPr>
                      <w:rFonts w:cs="v4.2.0"/>
                    </w:rPr>
                    <w:t xml:space="preserve">DRX or </w:t>
                  </w:r>
                  <w:proofErr w:type="spellStart"/>
                  <w:r>
                    <w:rPr>
                      <w:rFonts w:cs="v4.2.0"/>
                    </w:rPr>
                    <w:t>eDRX</w:t>
                  </w:r>
                  <w:proofErr w:type="spellEnd"/>
                  <w:r>
                    <w:rPr>
                      <w:rFonts w:cs="v4.2.0"/>
                    </w:rPr>
                    <w:t xml:space="preserve"> INACTIVE cycle length[s]</w:t>
                  </w:r>
                </w:p>
              </w:tc>
              <w:tc>
                <w:tcPr>
                  <w:tcW w:w="769" w:type="pct"/>
                  <w:tcBorders>
                    <w:top w:val="single" w:sz="4" w:space="0" w:color="auto"/>
                    <w:left w:val="nil"/>
                    <w:bottom w:val="single" w:sz="4" w:space="0" w:color="auto"/>
                    <w:right w:val="single" w:sz="4" w:space="0" w:color="auto"/>
                  </w:tcBorders>
                  <w:hideMark/>
                </w:tcPr>
                <w:p w14:paraId="226B8328" w14:textId="77777777" w:rsidR="00E411FE" w:rsidRDefault="00E411FE" w:rsidP="00E411FE">
                  <w:pPr>
                    <w:pStyle w:val="TAH"/>
                    <w:rPr>
                      <w:rFonts w:cs="Arial"/>
                    </w:rPr>
                  </w:pPr>
                  <w:r>
                    <w:rPr>
                      <w:rFonts w:cs="v4.2.0"/>
                    </w:rPr>
                    <w:t>T [s]</w:t>
                  </w:r>
                </w:p>
              </w:tc>
              <w:tc>
                <w:tcPr>
                  <w:tcW w:w="703" w:type="pct"/>
                  <w:tcBorders>
                    <w:top w:val="single" w:sz="4" w:space="0" w:color="auto"/>
                    <w:left w:val="nil"/>
                    <w:bottom w:val="single" w:sz="4" w:space="0" w:color="auto"/>
                    <w:right w:val="single" w:sz="4" w:space="0" w:color="auto"/>
                  </w:tcBorders>
                  <w:hideMark/>
                </w:tcPr>
                <w:p w14:paraId="1193481C" w14:textId="77777777" w:rsidR="00E411FE" w:rsidRDefault="00E411FE" w:rsidP="00E411FE">
                  <w:pPr>
                    <w:pStyle w:val="TAH"/>
                    <w:rPr>
                      <w:rFonts w:cs="v4.2.0"/>
                    </w:rPr>
                  </w:pPr>
                  <w:proofErr w:type="spellStart"/>
                  <w:r>
                    <w:rPr>
                      <w:rFonts w:cs="v4.2.0"/>
                    </w:rPr>
                    <w:t>N</w:t>
                  </w:r>
                  <w:r>
                    <w:rPr>
                      <w:rFonts w:cs="v4.2.0"/>
                      <w:vertAlign w:val="subscript"/>
                    </w:rPr>
                    <w:t>serv</w:t>
                  </w:r>
                  <w:proofErr w:type="spellEnd"/>
                  <w:r>
                    <w:rPr>
                      <w:rFonts w:cs="v4.2.0"/>
                      <w:vertAlign w:val="subscript"/>
                    </w:rPr>
                    <w:t xml:space="preserve"> _</w:t>
                  </w:r>
                  <w:proofErr w:type="spellStart"/>
                  <w:r>
                    <w:rPr>
                      <w:rFonts w:cs="v4.2.0"/>
                      <w:vertAlign w:val="subscript"/>
                    </w:rPr>
                    <w:t>RedCap</w:t>
                  </w:r>
                  <w:proofErr w:type="spellEnd"/>
                  <w:r>
                    <w:rPr>
                      <w:rFonts w:cs="v4.2.0"/>
                    </w:rPr>
                    <w:t xml:space="preserve"> [number of T ]</w:t>
                  </w:r>
                </w:p>
              </w:tc>
            </w:tr>
            <w:tr w:rsidR="00E411FE" w14:paraId="3C9C991C" w14:textId="77777777" w:rsidTr="00E411FE">
              <w:trPr>
                <w:cantSplit/>
                <w:trHeight w:val="150"/>
              </w:trPr>
              <w:tc>
                <w:tcPr>
                  <w:tcW w:w="1543" w:type="pct"/>
                  <w:vMerge w:val="restart"/>
                  <w:tcBorders>
                    <w:top w:val="nil"/>
                    <w:left w:val="single" w:sz="4" w:space="0" w:color="auto"/>
                    <w:bottom w:val="single" w:sz="4" w:space="0" w:color="auto"/>
                    <w:right w:val="single" w:sz="4" w:space="0" w:color="auto"/>
                  </w:tcBorders>
                  <w:hideMark/>
                </w:tcPr>
                <w:p w14:paraId="369062C2" w14:textId="77777777" w:rsidR="00E411FE" w:rsidRDefault="00E411FE" w:rsidP="00E411FE">
                  <w:pPr>
                    <w:pStyle w:val="TAC"/>
                    <w:rPr>
                      <w:rFonts w:cs="Arial"/>
                    </w:rPr>
                  </w:pPr>
                  <w:r>
                    <w:rPr>
                      <w:rFonts w:cs="Arial"/>
                    </w:rPr>
                    <w:t>2.56 ≤</w:t>
                  </w:r>
                  <w:proofErr w:type="spellStart"/>
                  <w:r>
                    <w:rPr>
                      <w:rFonts w:cs="Arial"/>
                    </w:rPr>
                    <w:t>eDRX_IDLE</w:t>
                  </w:r>
                  <w:proofErr w:type="spellEnd"/>
                  <w:r>
                    <w:rPr>
                      <w:rFonts w:cs="Arial"/>
                    </w:rPr>
                    <w:t xml:space="preserve"> cycle length ≤</w:t>
                  </w:r>
                  <w:r>
                    <w:t>10485.76</w:t>
                  </w:r>
                </w:p>
              </w:tc>
              <w:tc>
                <w:tcPr>
                  <w:tcW w:w="1981" w:type="pct"/>
                  <w:vMerge w:val="restart"/>
                  <w:tcBorders>
                    <w:top w:val="nil"/>
                    <w:left w:val="nil"/>
                    <w:bottom w:val="single" w:sz="4" w:space="0" w:color="auto"/>
                    <w:right w:val="single" w:sz="4" w:space="0" w:color="auto"/>
                  </w:tcBorders>
                  <w:hideMark/>
                </w:tcPr>
                <w:p w14:paraId="5C297634" w14:textId="77777777" w:rsidR="00E411FE" w:rsidRDefault="00E411FE" w:rsidP="00E411FE">
                  <w:pPr>
                    <w:pStyle w:val="TAC"/>
                    <w:rPr>
                      <w:rFonts w:cs="Arial"/>
                    </w:rPr>
                  </w:pPr>
                  <w:r>
                    <w:rPr>
                      <w:rFonts w:cs="Arial"/>
                    </w:rPr>
                    <w:t>0.32 ≤</w:t>
                  </w:r>
                  <w:proofErr w:type="spellStart"/>
                  <w:r>
                    <w:rPr>
                      <w:rFonts w:cs="Arial"/>
                    </w:rPr>
                    <w:t>DRX_Inactive</w:t>
                  </w:r>
                  <w:proofErr w:type="spellEnd"/>
                  <w:r>
                    <w:rPr>
                      <w:rFonts w:cs="Arial"/>
                    </w:rPr>
                    <w:t xml:space="preserve"> cycle length ≤</w:t>
                  </w:r>
                  <w:r>
                    <w:t>2.56; or</w:t>
                  </w:r>
                </w:p>
                <w:p w14:paraId="3DA89EE7" w14:textId="77777777" w:rsidR="00E411FE" w:rsidRDefault="00E411FE" w:rsidP="00E411FE">
                  <w:pPr>
                    <w:pStyle w:val="TAC"/>
                    <w:rPr>
                      <w:rFonts w:cs="Arial"/>
                    </w:rPr>
                  </w:pPr>
                  <w:r>
                    <w:rPr>
                      <w:rFonts w:cs="Arial"/>
                    </w:rPr>
                    <w:t>2.56 ≤</w:t>
                  </w:r>
                  <w:proofErr w:type="spellStart"/>
                  <w:r>
                    <w:rPr>
                      <w:rFonts w:cs="Arial"/>
                    </w:rPr>
                    <w:t>eDRX_Inactive</w:t>
                  </w:r>
                  <w:proofErr w:type="spellEnd"/>
                  <w:r>
                    <w:rPr>
                      <w:rFonts w:cs="Arial"/>
                    </w:rPr>
                    <w:t xml:space="preserve"> cycle length ≤</w:t>
                  </w:r>
                  <w:r>
                    <w:t xml:space="preserve">10.24 if inactive </w:t>
                  </w:r>
                  <w:proofErr w:type="spellStart"/>
                  <w:r>
                    <w:t>eDRX</w:t>
                  </w:r>
                  <w:proofErr w:type="spellEnd"/>
                  <w:r>
                    <w:t xml:space="preserve"> is configured</w:t>
                  </w:r>
                </w:p>
                <w:p w14:paraId="08E4E0FC" w14:textId="77777777" w:rsidR="00E411FE" w:rsidRDefault="00E411FE" w:rsidP="00E411FE">
                  <w:pPr>
                    <w:pStyle w:val="TAC"/>
                    <w:rPr>
                      <w:rFonts w:cs="Arial"/>
                    </w:rPr>
                  </w:pPr>
                  <w:r>
                    <w:rPr>
                      <w:rFonts w:cs="Arial"/>
                    </w:rPr>
                    <w:t xml:space="preserve">  </w:t>
                  </w:r>
                </w:p>
              </w:tc>
              <w:tc>
                <w:tcPr>
                  <w:tcW w:w="769" w:type="pct"/>
                  <w:tcBorders>
                    <w:top w:val="single" w:sz="4" w:space="0" w:color="auto"/>
                    <w:left w:val="nil"/>
                    <w:bottom w:val="single" w:sz="4" w:space="0" w:color="auto"/>
                    <w:right w:val="single" w:sz="4" w:space="0" w:color="auto"/>
                  </w:tcBorders>
                  <w:hideMark/>
                </w:tcPr>
                <w:p w14:paraId="4F97C796" w14:textId="77777777" w:rsidR="00E411FE" w:rsidRDefault="00E411FE" w:rsidP="00E411FE">
                  <w:pPr>
                    <w:pStyle w:val="TAC"/>
                    <w:rPr>
                      <w:rFonts w:cs="Arial"/>
                    </w:rPr>
                  </w:pPr>
                  <w:r>
                    <w:rPr>
                      <w:rFonts w:cs="Arial"/>
                    </w:rPr>
                    <w:t>0.32</w:t>
                  </w:r>
                </w:p>
              </w:tc>
              <w:tc>
                <w:tcPr>
                  <w:tcW w:w="703" w:type="pct"/>
                  <w:tcBorders>
                    <w:top w:val="single" w:sz="4" w:space="0" w:color="auto"/>
                    <w:left w:val="nil"/>
                    <w:bottom w:val="single" w:sz="4" w:space="0" w:color="auto"/>
                    <w:right w:val="single" w:sz="4" w:space="0" w:color="auto"/>
                  </w:tcBorders>
                  <w:hideMark/>
                </w:tcPr>
                <w:p w14:paraId="0CD0AD7F" w14:textId="77777777" w:rsidR="00E411FE" w:rsidRDefault="00E411FE" w:rsidP="00E411FE">
                  <w:pPr>
                    <w:pStyle w:val="TAC"/>
                    <w:rPr>
                      <w:rFonts w:cs="Arial"/>
                    </w:rPr>
                  </w:pPr>
                  <w:r>
                    <w:rPr>
                      <w:rFonts w:cs="Arial"/>
                    </w:rPr>
                    <w:t>4*M1</w:t>
                  </w:r>
                </w:p>
              </w:tc>
            </w:tr>
            <w:tr w:rsidR="00E411FE" w14:paraId="4F2284D0"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5EAA94F2"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5120F695"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78A096D4" w14:textId="77777777" w:rsidR="00E411FE" w:rsidRDefault="00E411FE" w:rsidP="00E411FE">
                  <w:pPr>
                    <w:pStyle w:val="TAC"/>
                    <w:rPr>
                      <w:rFonts w:cs="Arial"/>
                    </w:rPr>
                  </w:pPr>
                  <w:r>
                    <w:rPr>
                      <w:rFonts w:cs="Arial"/>
                    </w:rPr>
                    <w:t>0.64</w:t>
                  </w:r>
                </w:p>
              </w:tc>
              <w:tc>
                <w:tcPr>
                  <w:tcW w:w="703" w:type="pct"/>
                  <w:tcBorders>
                    <w:top w:val="single" w:sz="4" w:space="0" w:color="auto"/>
                    <w:left w:val="nil"/>
                    <w:bottom w:val="single" w:sz="4" w:space="0" w:color="auto"/>
                    <w:right w:val="single" w:sz="4" w:space="0" w:color="auto"/>
                  </w:tcBorders>
                  <w:hideMark/>
                </w:tcPr>
                <w:p w14:paraId="43C74803" w14:textId="77777777" w:rsidR="00E411FE" w:rsidRDefault="00E411FE" w:rsidP="00E411FE">
                  <w:pPr>
                    <w:pStyle w:val="TAC"/>
                    <w:rPr>
                      <w:rFonts w:cs="Arial"/>
                    </w:rPr>
                  </w:pPr>
                  <w:r>
                    <w:rPr>
                      <w:rFonts w:cs="Arial"/>
                    </w:rPr>
                    <w:t>4*M1</w:t>
                  </w:r>
                </w:p>
              </w:tc>
            </w:tr>
            <w:tr w:rsidR="00E411FE" w14:paraId="38DACF66"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7A4E04B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1E17C290"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08FDF50" w14:textId="77777777" w:rsidR="00E411FE" w:rsidRDefault="00E411FE" w:rsidP="00E411FE">
                  <w:pPr>
                    <w:pStyle w:val="TAC"/>
                    <w:rPr>
                      <w:rFonts w:cs="Arial"/>
                    </w:rPr>
                  </w:pPr>
                  <w:r>
                    <w:rPr>
                      <w:rFonts w:cs="Arial"/>
                    </w:rPr>
                    <w:t>1.28</w:t>
                  </w:r>
                </w:p>
              </w:tc>
              <w:tc>
                <w:tcPr>
                  <w:tcW w:w="703" w:type="pct"/>
                  <w:tcBorders>
                    <w:top w:val="single" w:sz="4" w:space="0" w:color="auto"/>
                    <w:left w:val="nil"/>
                    <w:bottom w:val="single" w:sz="4" w:space="0" w:color="auto"/>
                    <w:right w:val="single" w:sz="4" w:space="0" w:color="auto"/>
                  </w:tcBorders>
                  <w:hideMark/>
                </w:tcPr>
                <w:p w14:paraId="7A76C119" w14:textId="77777777" w:rsidR="00E411FE" w:rsidRDefault="00E411FE" w:rsidP="00E411FE">
                  <w:pPr>
                    <w:pStyle w:val="TAC"/>
                    <w:rPr>
                      <w:rFonts w:cs="Arial"/>
                    </w:rPr>
                  </w:pPr>
                  <w:r>
                    <w:rPr>
                      <w:rFonts w:cs="Arial"/>
                    </w:rPr>
                    <w:t>2</w:t>
                  </w:r>
                </w:p>
              </w:tc>
            </w:tr>
            <w:tr w:rsidR="00E411FE" w14:paraId="5E49640C" w14:textId="77777777" w:rsidTr="00E411FE">
              <w:trPr>
                <w:cantSplit/>
                <w:trHeight w:val="157"/>
              </w:trPr>
              <w:tc>
                <w:tcPr>
                  <w:tcW w:w="2050" w:type="dxa"/>
                  <w:vMerge/>
                  <w:tcBorders>
                    <w:top w:val="nil"/>
                    <w:left w:val="single" w:sz="4" w:space="0" w:color="auto"/>
                    <w:bottom w:val="single" w:sz="4" w:space="0" w:color="auto"/>
                    <w:right w:val="single" w:sz="4" w:space="0" w:color="auto"/>
                  </w:tcBorders>
                  <w:vAlign w:val="center"/>
                  <w:hideMark/>
                </w:tcPr>
                <w:p w14:paraId="3D534483"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3E7821DE"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21B8180B" w14:textId="77777777" w:rsidR="00E411FE" w:rsidRDefault="00E411FE" w:rsidP="00E411FE">
                  <w:pPr>
                    <w:pStyle w:val="TAC"/>
                    <w:rPr>
                      <w:rFonts w:cs="Arial"/>
                    </w:rPr>
                  </w:pPr>
                  <w:r>
                    <w:rPr>
                      <w:rFonts w:cs="Arial"/>
                    </w:rPr>
                    <w:t>2.56</w:t>
                  </w:r>
                </w:p>
              </w:tc>
              <w:tc>
                <w:tcPr>
                  <w:tcW w:w="703" w:type="pct"/>
                  <w:tcBorders>
                    <w:top w:val="single" w:sz="4" w:space="0" w:color="auto"/>
                    <w:left w:val="nil"/>
                    <w:bottom w:val="single" w:sz="4" w:space="0" w:color="auto"/>
                    <w:right w:val="single" w:sz="4" w:space="0" w:color="auto"/>
                  </w:tcBorders>
                  <w:hideMark/>
                </w:tcPr>
                <w:p w14:paraId="2E7F2208" w14:textId="77777777" w:rsidR="00E411FE" w:rsidRDefault="00E411FE" w:rsidP="00E411FE">
                  <w:pPr>
                    <w:pStyle w:val="TAC"/>
                    <w:rPr>
                      <w:rFonts w:cs="Arial"/>
                    </w:rPr>
                  </w:pPr>
                  <w:r>
                    <w:rPr>
                      <w:rFonts w:cs="Arial"/>
                    </w:rPr>
                    <w:t>2</w:t>
                  </w:r>
                </w:p>
              </w:tc>
            </w:tr>
            <w:tr w:rsidR="00E411FE" w14:paraId="3534EF33"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09003B7"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6FEB57C6"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32932E08" w14:textId="77777777" w:rsidR="00E411FE" w:rsidRDefault="00E411FE" w:rsidP="00E411FE">
                  <w:pPr>
                    <w:pStyle w:val="TAC"/>
                    <w:rPr>
                      <w:rFonts w:cs="Arial"/>
                    </w:rPr>
                  </w:pPr>
                  <w:r>
                    <w:rPr>
                      <w:rFonts w:cs="Arial"/>
                    </w:rPr>
                    <w:t>5.12</w:t>
                  </w:r>
                </w:p>
              </w:tc>
              <w:tc>
                <w:tcPr>
                  <w:tcW w:w="703" w:type="pct"/>
                  <w:tcBorders>
                    <w:top w:val="single" w:sz="4" w:space="0" w:color="auto"/>
                    <w:left w:val="nil"/>
                    <w:bottom w:val="single" w:sz="4" w:space="0" w:color="auto"/>
                    <w:right w:val="single" w:sz="4" w:space="0" w:color="auto"/>
                  </w:tcBorders>
                  <w:hideMark/>
                </w:tcPr>
                <w:p w14:paraId="5359C059" w14:textId="77777777" w:rsidR="00E411FE" w:rsidRDefault="00E411FE" w:rsidP="00E411FE">
                  <w:pPr>
                    <w:pStyle w:val="TAC"/>
                    <w:rPr>
                      <w:rFonts w:cs="Arial"/>
                    </w:rPr>
                  </w:pPr>
                  <w:r>
                    <w:rPr>
                      <w:rFonts w:cs="Arial"/>
                    </w:rPr>
                    <w:t>2</w:t>
                  </w:r>
                </w:p>
              </w:tc>
            </w:tr>
            <w:tr w:rsidR="00E411FE" w14:paraId="3C7537F5"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AC93B5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24F63AD8"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53C39D4" w14:textId="77777777" w:rsidR="00E411FE" w:rsidRDefault="00E411FE" w:rsidP="00E411FE">
                  <w:pPr>
                    <w:pStyle w:val="TAC"/>
                    <w:rPr>
                      <w:rFonts w:cs="Arial"/>
                    </w:rPr>
                  </w:pPr>
                  <w:r>
                    <w:rPr>
                      <w:rFonts w:cs="Arial"/>
                    </w:rPr>
                    <w:t xml:space="preserve">10.24 </w:t>
                  </w:r>
                </w:p>
              </w:tc>
              <w:tc>
                <w:tcPr>
                  <w:tcW w:w="703" w:type="pct"/>
                  <w:tcBorders>
                    <w:top w:val="single" w:sz="4" w:space="0" w:color="auto"/>
                    <w:left w:val="nil"/>
                    <w:bottom w:val="single" w:sz="4" w:space="0" w:color="auto"/>
                    <w:right w:val="single" w:sz="4" w:space="0" w:color="auto"/>
                  </w:tcBorders>
                  <w:hideMark/>
                </w:tcPr>
                <w:p w14:paraId="428326D3" w14:textId="77777777" w:rsidR="00E411FE" w:rsidRDefault="00E411FE" w:rsidP="00E411FE">
                  <w:pPr>
                    <w:pStyle w:val="TAC"/>
                    <w:rPr>
                      <w:rFonts w:cs="Arial"/>
                    </w:rPr>
                  </w:pPr>
                  <w:r>
                    <w:rPr>
                      <w:rFonts w:cs="Arial"/>
                    </w:rPr>
                    <w:t>2</w:t>
                  </w:r>
                </w:p>
              </w:tc>
            </w:tr>
            <w:tr w:rsidR="00E411FE" w14:paraId="258F44CD" w14:textId="77777777" w:rsidTr="00E411FE">
              <w:trPr>
                <w:cantSplit/>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F07A88" w14:textId="77777777" w:rsidR="00E411FE" w:rsidRDefault="00E411FE" w:rsidP="00E411FE">
                  <w:pPr>
                    <w:pStyle w:val="TAC"/>
                    <w:jc w:val="left"/>
                    <w:rPr>
                      <w:rFonts w:cs="v4.2.0"/>
                    </w:rPr>
                  </w:pPr>
                  <w:r>
                    <w:t xml:space="preserve">Note1: </w:t>
                  </w:r>
                  <w:r>
                    <w:rPr>
                      <w:rFonts w:cs="v4.2.0"/>
                    </w:rPr>
                    <w:t xml:space="preserve">T is </w:t>
                  </w:r>
                  <w:proofErr w:type="spellStart"/>
                  <w:r>
                    <w:rPr>
                      <w:rFonts w:cs="v4.2.0"/>
                    </w:rPr>
                    <w:t>dertermined</w:t>
                  </w:r>
                  <w:proofErr w:type="spellEnd"/>
                  <w:r>
                    <w:rPr>
                      <w:rFonts w:cs="v4.2.0"/>
                    </w:rPr>
                    <w:t xml:space="preserve"> according to clause 7.1 in [1].</w:t>
                  </w:r>
                </w:p>
                <w:p w14:paraId="5F99AD03" w14:textId="77777777" w:rsidR="00E411FE" w:rsidRDefault="00E411FE" w:rsidP="00E411FE">
                  <w:pPr>
                    <w:pStyle w:val="TAC"/>
                    <w:jc w:val="left"/>
                  </w:pPr>
                  <w:r>
                    <w:t xml:space="preserve">Note2: </w:t>
                  </w: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rFonts w:ascii="Times New Roman" w:hAnsi="Times New Roman"/>
                    </w:rPr>
                    <w:t>≤</w:t>
                  </w:r>
                  <w:r>
                    <w:rPr>
                      <w:rFonts w:cs="v4.2.0"/>
                    </w:rPr>
                    <w:t xml:space="preserve"> 0.64 second.</w:t>
                  </w:r>
                </w:p>
              </w:tc>
            </w:tr>
          </w:tbl>
          <w:p w14:paraId="708AA7DE" w14:textId="0435678B" w:rsidR="001767D3" w:rsidRPr="001767D3" w:rsidRDefault="001767D3" w:rsidP="00E411FE">
            <w:pPr>
              <w:jc w:val="both"/>
              <w:outlineLvl w:val="2"/>
              <w:rPr>
                <w:lang w:eastAsia="en-US"/>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380FA"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 xml:space="preserve">For UE configured with </w:t>
            </w:r>
            <w:proofErr w:type="spellStart"/>
            <w:r w:rsidRPr="00E411FE">
              <w:rPr>
                <w:rFonts w:ascii="Arial" w:hAnsi="Arial" w:cs="Arial"/>
                <w:sz w:val="20"/>
                <w:szCs w:val="20"/>
              </w:rPr>
              <w:t>eDRX</w:t>
            </w:r>
            <w:proofErr w:type="spellEnd"/>
            <w:r w:rsidRPr="00E411FE">
              <w:rPr>
                <w:rFonts w:ascii="Arial" w:hAnsi="Arial" w:cs="Arial"/>
                <w:sz w:val="20"/>
                <w:szCs w:val="20"/>
              </w:rPr>
              <w:t xml:space="preserve"> in RRC_INACTIVE state in FR1, the TA validation requirements for </w:t>
            </w:r>
            <w:proofErr w:type="spellStart"/>
            <w:r w:rsidRPr="00E411FE">
              <w:rPr>
                <w:rFonts w:ascii="Arial" w:hAnsi="Arial" w:cs="Arial"/>
                <w:sz w:val="20"/>
                <w:szCs w:val="20"/>
              </w:rPr>
              <w:t>RedCap</w:t>
            </w:r>
            <w:proofErr w:type="spellEnd"/>
            <w:r w:rsidRPr="00E411FE">
              <w:rPr>
                <w:rFonts w:ascii="Arial" w:hAnsi="Arial" w:cs="Arial"/>
                <w:sz w:val="20"/>
                <w:szCs w:val="20"/>
              </w:rPr>
              <w:t xml:space="preserve"> CG-SDT shall be revised as,</w:t>
            </w:r>
          </w:p>
          <w:tbl>
            <w:tblPr>
              <w:tblStyle w:val="TableGrid"/>
              <w:tblW w:w="0" w:type="auto"/>
              <w:tblLayout w:type="fixed"/>
              <w:tblLook w:val="04A0" w:firstRow="1" w:lastRow="0" w:firstColumn="1" w:lastColumn="0" w:noHBand="0" w:noVBand="1"/>
            </w:tblPr>
            <w:tblGrid>
              <w:gridCol w:w="1242"/>
              <w:gridCol w:w="5265"/>
            </w:tblGrid>
            <w:tr w:rsidR="00E411FE" w:rsidRPr="00E411FE" w14:paraId="1868C3B4"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62F7C38C" w14:textId="77777777" w:rsidR="00E411FE" w:rsidRPr="00E411FE" w:rsidRDefault="00E411FE" w:rsidP="00E411FE">
                  <w:pPr>
                    <w:pStyle w:val="TAH"/>
                    <w:rPr>
                      <w:rFonts w:cs="Arial"/>
                      <w:b w:val="0"/>
                      <w:sz w:val="20"/>
                    </w:rPr>
                  </w:pPr>
                  <w:r w:rsidRPr="00E411FE">
                    <w:rPr>
                      <w:rFonts w:cs="Arial"/>
                      <w:b w:val="0"/>
                      <w:sz w:val="20"/>
                    </w:rPr>
                    <w:t>Measurement</w:t>
                  </w:r>
                </w:p>
              </w:tc>
              <w:tc>
                <w:tcPr>
                  <w:tcW w:w="5264" w:type="dxa"/>
                  <w:tcBorders>
                    <w:top w:val="single" w:sz="4" w:space="0" w:color="auto"/>
                    <w:left w:val="single" w:sz="4" w:space="0" w:color="auto"/>
                    <w:bottom w:val="single" w:sz="4" w:space="0" w:color="auto"/>
                    <w:right w:val="single" w:sz="4" w:space="0" w:color="auto"/>
                  </w:tcBorders>
                  <w:hideMark/>
                </w:tcPr>
                <w:p w14:paraId="5615ABB3" w14:textId="77777777" w:rsidR="00E411FE" w:rsidRPr="00E411FE" w:rsidRDefault="00E411FE" w:rsidP="00E411FE">
                  <w:pPr>
                    <w:pStyle w:val="TAH"/>
                    <w:rPr>
                      <w:rFonts w:cs="Arial"/>
                      <w:b w:val="0"/>
                      <w:sz w:val="20"/>
                    </w:rPr>
                  </w:pPr>
                  <w:r w:rsidRPr="00E411FE">
                    <w:rPr>
                      <w:rFonts w:cs="Arial"/>
                      <w:b w:val="0"/>
                      <w:sz w:val="20"/>
                    </w:rPr>
                    <w:t>FR1</w:t>
                  </w:r>
                </w:p>
              </w:tc>
            </w:tr>
            <w:tr w:rsidR="00E411FE" w:rsidRPr="00E411FE" w14:paraId="37FA80D6"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0628836C"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1</w:t>
                  </w:r>
                </w:p>
              </w:tc>
              <w:tc>
                <w:tcPr>
                  <w:tcW w:w="5264" w:type="dxa"/>
                  <w:tcBorders>
                    <w:top w:val="single" w:sz="4" w:space="0" w:color="auto"/>
                    <w:left w:val="single" w:sz="4" w:space="0" w:color="auto"/>
                    <w:bottom w:val="single" w:sz="4" w:space="0" w:color="auto"/>
                    <w:right w:val="single" w:sz="4" w:space="0" w:color="auto"/>
                  </w:tcBorders>
                  <w:hideMark/>
                </w:tcPr>
                <w:p w14:paraId="5B466E18" w14:textId="77777777" w:rsidR="00E411FE" w:rsidRPr="00E411FE" w:rsidRDefault="00E411FE" w:rsidP="00E411FE">
                  <w:pPr>
                    <w:pStyle w:val="TAC"/>
                    <w:rPr>
                      <w:rFonts w:cs="Arial"/>
                      <w:sz w:val="20"/>
                    </w:rPr>
                  </w:pPr>
                  <w:r w:rsidRPr="00E411FE">
                    <w:rPr>
                      <w:rFonts w:cs="Arial"/>
                      <w:sz w:val="20"/>
                    </w:rPr>
                    <w:t>(T1 – min(640ms, M1*T)) ≤ T1’ ≤ (T1 + min(640ms, M1*T))</w:t>
                  </w:r>
                </w:p>
              </w:tc>
            </w:tr>
            <w:tr w:rsidR="00E411FE" w:rsidRPr="00E411FE" w14:paraId="1E338018"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202D5DB9"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2</w:t>
                  </w:r>
                </w:p>
              </w:tc>
              <w:tc>
                <w:tcPr>
                  <w:tcW w:w="5264" w:type="dxa"/>
                  <w:tcBorders>
                    <w:top w:val="single" w:sz="4" w:space="0" w:color="auto"/>
                    <w:left w:val="single" w:sz="4" w:space="0" w:color="auto"/>
                    <w:bottom w:val="single" w:sz="4" w:space="0" w:color="auto"/>
                    <w:right w:val="single" w:sz="4" w:space="0" w:color="auto"/>
                  </w:tcBorders>
                  <w:hideMark/>
                </w:tcPr>
                <w:p w14:paraId="07713CBB" w14:textId="77777777" w:rsidR="00E411FE" w:rsidRPr="00E411FE" w:rsidRDefault="00E411FE" w:rsidP="00E411FE">
                  <w:pPr>
                    <w:pStyle w:val="TAC"/>
                    <w:rPr>
                      <w:rFonts w:cs="Arial"/>
                      <w:sz w:val="20"/>
                    </w:rPr>
                  </w:pPr>
                  <w:r w:rsidRPr="00E411FE">
                    <w:rPr>
                      <w:rFonts w:cs="Arial"/>
                      <w:sz w:val="20"/>
                    </w:rPr>
                    <w:t>(T2 – min(640ms, M1*T)) ≤ T2’ ≤ T2</w:t>
                  </w:r>
                </w:p>
              </w:tc>
            </w:tr>
            <w:tr w:rsidR="00E411FE" w:rsidRPr="00E411FE" w14:paraId="16967315" w14:textId="77777777" w:rsidTr="00E411FE">
              <w:trPr>
                <w:trHeight w:val="23"/>
              </w:trPr>
              <w:tc>
                <w:tcPr>
                  <w:tcW w:w="6507" w:type="dxa"/>
                  <w:gridSpan w:val="2"/>
                  <w:tcBorders>
                    <w:top w:val="single" w:sz="4" w:space="0" w:color="auto"/>
                    <w:left w:val="single" w:sz="4" w:space="0" w:color="auto"/>
                    <w:bottom w:val="single" w:sz="4" w:space="0" w:color="auto"/>
                    <w:right w:val="single" w:sz="4" w:space="0" w:color="auto"/>
                  </w:tcBorders>
                </w:tcPr>
                <w:p w14:paraId="38C5C800" w14:textId="77777777" w:rsidR="00E411FE" w:rsidRPr="00E411FE" w:rsidRDefault="00E411FE" w:rsidP="00E411FE">
                  <w:pPr>
                    <w:pStyle w:val="TAC"/>
                    <w:jc w:val="left"/>
                    <w:rPr>
                      <w:rFonts w:cs="Arial"/>
                      <w:sz w:val="20"/>
                    </w:rPr>
                  </w:pPr>
                  <w:r w:rsidRPr="00E411FE">
                    <w:rPr>
                      <w:rFonts w:cs="Arial"/>
                      <w:sz w:val="20"/>
                    </w:rPr>
                    <w:t>Note: T is as defined in table 5.1B.2.2-1</w:t>
                  </w:r>
                </w:p>
              </w:tc>
            </w:tr>
          </w:tbl>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2E24" w:rsidR="009B2766" w:rsidRDefault="00E411FE" w:rsidP="00EA6F07">
            <w:pPr>
              <w:pStyle w:val="CRCoverPage"/>
              <w:spacing w:after="0"/>
              <w:rPr>
                <w:noProof/>
              </w:rPr>
            </w:pPr>
            <w:r>
              <w:rPr>
                <w:rFonts w:cs="Arial"/>
              </w:rPr>
              <w:t>T</w:t>
            </w:r>
            <w:r w:rsidRPr="00E411FE">
              <w:rPr>
                <w:rFonts w:cs="Arial"/>
              </w:rPr>
              <w:t xml:space="preserve">he TA validation requirement </w:t>
            </w:r>
            <w:r>
              <w:rPr>
                <w:rFonts w:cs="Arial"/>
              </w:rPr>
              <w:t>for FR1 CG-SDT is not correct.</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9472" w:rsidR="009B2766" w:rsidRDefault="009B2766" w:rsidP="009B2766">
            <w:pPr>
              <w:pStyle w:val="CRCoverPage"/>
              <w:spacing w:after="0"/>
              <w:ind w:left="100"/>
              <w:rPr>
                <w:noProof/>
              </w:rPr>
            </w:pPr>
            <w:r>
              <w:rPr>
                <w:noProof/>
              </w:rPr>
              <w:t xml:space="preserve">Section </w:t>
            </w:r>
            <w:r w:rsidR="00E411FE" w:rsidRPr="00E411FE">
              <w:t>5.2B.2.1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122437C" w14:textId="77777777" w:rsidR="00E411FE" w:rsidRPr="00E411FE" w:rsidRDefault="00E411FE" w:rsidP="00E411FE">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eastAsia="en-GB"/>
        </w:rPr>
      </w:pPr>
      <w:r w:rsidRPr="00E411FE">
        <w:rPr>
          <w:rFonts w:ascii="Arial" w:eastAsia="Times New Roman" w:hAnsi="Arial"/>
          <w:sz w:val="28"/>
          <w:szCs w:val="20"/>
          <w:lang w:val="en-GB" w:eastAsia="en-GB"/>
        </w:rPr>
        <w:t>5.2B.2</w:t>
      </w:r>
      <w:r w:rsidRPr="00E411FE">
        <w:rPr>
          <w:rFonts w:ascii="Arial" w:eastAsia="Times New Roman" w:hAnsi="Arial"/>
          <w:sz w:val="28"/>
          <w:szCs w:val="20"/>
          <w:lang w:val="en-GB" w:eastAsia="en-GB"/>
        </w:rPr>
        <w:tab/>
        <w:t xml:space="preserve">Requirements on UE synchronization for small data transmissions for </w:t>
      </w:r>
      <w:proofErr w:type="spellStart"/>
      <w:r w:rsidRPr="00E411FE">
        <w:rPr>
          <w:rFonts w:ascii="Arial" w:eastAsia="Times New Roman" w:hAnsi="Arial"/>
          <w:sz w:val="28"/>
          <w:szCs w:val="20"/>
          <w:lang w:val="en-GB" w:eastAsia="en-GB"/>
        </w:rPr>
        <w:t>RedCap</w:t>
      </w:r>
      <w:proofErr w:type="spellEnd"/>
    </w:p>
    <w:p w14:paraId="0A83BBED"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The requirements in clause 5.2B.2 shall apply for </w:t>
      </w:r>
      <w:proofErr w:type="spellStart"/>
      <w:r w:rsidRPr="00E411FE">
        <w:rPr>
          <w:rFonts w:eastAsia="Times New Roman"/>
          <w:sz w:val="20"/>
          <w:szCs w:val="20"/>
          <w:lang w:val="en-GB" w:eastAsia="en-GB"/>
        </w:rPr>
        <w:t>RedCap</w:t>
      </w:r>
      <w:proofErr w:type="spellEnd"/>
      <w:r w:rsidRPr="00E411FE">
        <w:rPr>
          <w:rFonts w:eastAsia="Times New Roman"/>
          <w:sz w:val="20"/>
          <w:szCs w:val="20"/>
          <w:lang w:val="en-GB" w:eastAsia="en-GB"/>
        </w:rPr>
        <w:t xml:space="preserve"> UEs. </w:t>
      </w:r>
    </w:p>
    <w:p w14:paraId="7ACD1855" w14:textId="77777777" w:rsidR="00E411FE" w:rsidRPr="00E411FE" w:rsidRDefault="00E411FE" w:rsidP="00E411FE">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E411FE">
        <w:rPr>
          <w:rFonts w:ascii="Arial" w:eastAsia="Times New Roman" w:hAnsi="Arial"/>
          <w:szCs w:val="20"/>
          <w:lang w:val="en-GB" w:eastAsia="en-GB"/>
        </w:rPr>
        <w:t>5.2B.2.1</w:t>
      </w:r>
      <w:r w:rsidRPr="00E411FE">
        <w:rPr>
          <w:rFonts w:ascii="Arial" w:eastAsia="Times New Roman" w:hAnsi="Arial"/>
          <w:szCs w:val="20"/>
          <w:lang w:val="en-GB" w:eastAsia="en-GB"/>
        </w:rPr>
        <w:tab/>
        <w:t xml:space="preserve">TA validation requirements for </w:t>
      </w:r>
      <w:proofErr w:type="spellStart"/>
      <w:r w:rsidRPr="00E411FE">
        <w:rPr>
          <w:rFonts w:ascii="Arial" w:eastAsia="Times New Roman" w:hAnsi="Arial"/>
          <w:szCs w:val="20"/>
          <w:lang w:val="en-GB" w:eastAsia="en-GB"/>
        </w:rPr>
        <w:t>RedCap</w:t>
      </w:r>
      <w:proofErr w:type="spellEnd"/>
    </w:p>
    <w:p w14:paraId="292B7FA6"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When </w:t>
      </w:r>
      <w:r w:rsidRPr="00E411FE">
        <w:rPr>
          <w:rFonts w:eastAsia="Times New Roman"/>
          <w:i/>
          <w:iCs/>
          <w:sz w:val="20"/>
          <w:szCs w:val="20"/>
          <w:lang w:val="en-GB" w:eastAsia="en-GB"/>
        </w:rPr>
        <w:t>cg-SDT-RSRP-</w:t>
      </w:r>
      <w:proofErr w:type="spellStart"/>
      <w:r w:rsidRPr="00E411FE">
        <w:rPr>
          <w:rFonts w:eastAsia="Times New Roman"/>
          <w:i/>
          <w:iCs/>
          <w:sz w:val="20"/>
          <w:szCs w:val="20"/>
          <w:lang w:val="en-GB" w:eastAsia="en-GB"/>
        </w:rPr>
        <w:t>ChangeThreshold</w:t>
      </w:r>
      <w:proofErr w:type="spellEnd"/>
      <w:r w:rsidRPr="00E411FE">
        <w:rPr>
          <w:rFonts w:eastAsia="Times New Roman"/>
          <w:iCs/>
          <w:sz w:val="20"/>
          <w:szCs w:val="20"/>
          <w:lang w:val="en-GB" w:eastAsia="en-GB"/>
        </w:rPr>
        <w:t xml:space="preserve"> [TS 38.331] is configured for TA validation based on the RSRP change criterion according to clause 5.8.2 in</w:t>
      </w:r>
      <w:r w:rsidRPr="00E411FE">
        <w:rPr>
          <w:rFonts w:eastAsia="Times New Roman"/>
          <w:iCs/>
          <w:sz w:val="20"/>
          <w:szCs w:val="20"/>
          <w:lang w:val="en-GB"/>
        </w:rPr>
        <w:t xml:space="preserve"> [</w:t>
      </w:r>
      <w:r w:rsidRPr="00E411FE">
        <w:rPr>
          <w:rFonts w:eastAsia="Times New Roman"/>
          <w:iCs/>
          <w:sz w:val="20"/>
          <w:szCs w:val="20"/>
          <w:lang w:val="en-GB" w:eastAsia="en-GB"/>
        </w:rPr>
        <w:t xml:space="preserve">TS 38.321], the UE is allowed to transmit using CG-SDT using the timing derived using the latest available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iCs/>
          <w:sz w:val="20"/>
          <w:szCs w:val="20"/>
          <w:lang w:val="en-GB" w:eastAsia="en-GB"/>
        </w:rPr>
        <w:t xml:space="preserve"> value as specified in subclause 7.1 provided that</w:t>
      </w:r>
    </w:p>
    <w:p w14:paraId="04CCC61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the first RSRP (RSRP</w:t>
      </w:r>
      <w:r w:rsidRPr="00E411FE">
        <w:rPr>
          <w:rFonts w:eastAsia="Times New Roman"/>
          <w:sz w:val="20"/>
          <w:szCs w:val="20"/>
          <w:vertAlign w:val="subscript"/>
          <w:lang w:eastAsia="en-GB"/>
        </w:rPr>
        <w:t>1</w:t>
      </w:r>
      <w:r w:rsidRPr="00E411FE">
        <w:rPr>
          <w:rFonts w:eastAsia="Times New Roman"/>
          <w:sz w:val="20"/>
          <w:szCs w:val="20"/>
          <w:lang w:eastAsia="en-GB"/>
        </w:rPr>
        <w:t>) measurement and the second RSRP (RSRP</w:t>
      </w:r>
      <w:r w:rsidRPr="00E411FE">
        <w:rPr>
          <w:rFonts w:eastAsia="Times New Roman"/>
          <w:sz w:val="20"/>
          <w:szCs w:val="20"/>
          <w:vertAlign w:val="subscript"/>
          <w:lang w:eastAsia="en-GB"/>
        </w:rPr>
        <w:t>2</w:t>
      </w:r>
      <w:r w:rsidRPr="00E411FE">
        <w:rPr>
          <w:rFonts w:eastAsia="Times New Roman"/>
          <w:sz w:val="20"/>
          <w:szCs w:val="20"/>
          <w:lang w:eastAsia="en-GB"/>
        </w:rPr>
        <w:t xml:space="preserve">) measurements used in the TA validation are valid measurements and, </w:t>
      </w:r>
    </w:p>
    <w:p w14:paraId="3ED74DF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timing alignment validation for transmission using CG-SDT is valid according to the validation criteria in clause 5.8.2 in [TS 38.321].</w:t>
      </w:r>
    </w:p>
    <w:p w14:paraId="64D619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 xml:space="preserve">considered valid provided that the conditions in Table 5.2B.2-1 are met for FR1 when UE is not configured with any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by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or core network.</w:t>
      </w:r>
    </w:p>
    <w:p w14:paraId="04A0F6E0"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 xml:space="preserve">considered valid provided that the conditions in Table 5.2B.2-2 are met for FR2 regardless of whether the UE is configured with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by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or core network (AMF).</w:t>
      </w:r>
    </w:p>
    <w:p w14:paraId="2E2B9F41"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considered valid provided that the conditions in Table 5.2B.2-3 are met for FR1 when UE is configured:</w:t>
      </w:r>
    </w:p>
    <w:p w14:paraId="5A895D13"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val="en-GB" w:eastAsia="en-GB"/>
        </w:rPr>
        <w:t>-</w:t>
      </w:r>
      <w:r w:rsidRPr="00E411FE">
        <w:rPr>
          <w:rFonts w:eastAsia="Times New Roman"/>
          <w:sz w:val="20"/>
          <w:szCs w:val="20"/>
          <w:lang w:val="en-GB" w:eastAsia="en-GB"/>
        </w:rPr>
        <w:tab/>
        <w:t xml:space="preserve">only with RAN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-RAN</w:t>
      </w:r>
      <w:r w:rsidRPr="00E411FE">
        <w:rPr>
          <w:rFonts w:eastAsia="Times New Roman"/>
          <w:sz w:val="20"/>
          <w:szCs w:val="20"/>
          <w:lang w:val="en-GB" w:eastAsia="en-GB"/>
        </w:rPr>
        <w:t xml:space="preserve">) by the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or</w:t>
      </w:r>
    </w:p>
    <w:p w14:paraId="62C48149"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iCs/>
          <w:sz w:val="20"/>
          <w:szCs w:val="20"/>
          <w:lang w:val="fr-FR" w:eastAsia="en-GB"/>
        </w:rPr>
      </w:pPr>
      <w:r w:rsidRPr="00E411FE">
        <w:rPr>
          <w:rFonts w:eastAsia="Times New Roman"/>
          <w:sz w:val="20"/>
          <w:szCs w:val="20"/>
          <w:lang w:val="en-GB" w:eastAsia="en-GB"/>
        </w:rPr>
        <w:t>-</w:t>
      </w:r>
      <w:r w:rsidRPr="00E411FE">
        <w:rPr>
          <w:rFonts w:eastAsia="Times New Roman"/>
          <w:sz w:val="20"/>
          <w:szCs w:val="20"/>
          <w:lang w:val="en-GB" w:eastAsia="en-GB"/>
        </w:rPr>
        <w:tab/>
        <w:t xml:space="preserve">with both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 xml:space="preserve">-RAN </w:t>
      </w:r>
      <w:r w:rsidRPr="00E411FE">
        <w:rPr>
          <w:rFonts w:eastAsia="Times New Roman"/>
          <w:sz w:val="20"/>
          <w:szCs w:val="20"/>
          <w:lang w:val="fr-FR" w:eastAsia="en-GB"/>
        </w:rPr>
        <w:t xml:space="preserve">by </w:t>
      </w:r>
      <w:r w:rsidRPr="00E411FE">
        <w:rPr>
          <w:rFonts w:eastAsia="Times New Roman"/>
          <w:sz w:val="20"/>
          <w:szCs w:val="20"/>
          <w:lang w:val="en-GB" w:eastAsia="en-GB"/>
        </w:rPr>
        <w:t xml:space="preserve">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and CN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-CN</w:t>
      </w:r>
      <w:r w:rsidRPr="00E411FE">
        <w:rPr>
          <w:rFonts w:eastAsia="Times New Roman"/>
          <w:sz w:val="20"/>
          <w:szCs w:val="20"/>
          <w:lang w:val="en-GB" w:eastAsia="en-GB"/>
        </w:rPr>
        <w:t>) by the core network (AMF)</w:t>
      </w:r>
    </w:p>
    <w:p w14:paraId="27A0B021"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5.2B.2.1-1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FR1 </w:t>
      </w:r>
      <w:proofErr w:type="spellStart"/>
      <w:r w:rsidRPr="00E411FE">
        <w:rPr>
          <w:rFonts w:ascii="Arial" w:eastAsia="Times New Roman" w:hAnsi="Arial"/>
          <w:b/>
          <w:sz w:val="20"/>
          <w:szCs w:val="20"/>
          <w:lang w:val="fr-FR" w:eastAsia="en-GB"/>
        </w:rPr>
        <w:t>without</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eDRX</w:t>
      </w:r>
      <w:proofErr w:type="spellEnd"/>
      <w:r w:rsidRPr="00E411FE">
        <w:rPr>
          <w:rFonts w:ascii="Arial" w:eastAsia="Times New Roman" w:hAnsi="Arial"/>
          <w:b/>
          <w:sz w:val="20"/>
          <w:szCs w:val="20"/>
          <w:lang w:val="fr-FR" w:eastAsia="en-GB"/>
        </w:rPr>
        <w:t xml:space="preserve"> cycle</w:t>
      </w:r>
    </w:p>
    <w:tbl>
      <w:tblPr>
        <w:tblStyle w:val="SGSTableBasic11"/>
        <w:tblW w:w="0" w:type="auto"/>
        <w:tblLook w:val="04A0" w:firstRow="1" w:lastRow="0" w:firstColumn="1" w:lastColumn="0" w:noHBand="0" w:noVBand="1"/>
      </w:tblPr>
      <w:tblGrid>
        <w:gridCol w:w="1838"/>
        <w:gridCol w:w="7791"/>
      </w:tblGrid>
      <w:tr w:rsidR="00E411FE" w:rsidRPr="00E411FE" w14:paraId="61C5081E" w14:textId="77777777" w:rsidTr="005C3651">
        <w:tc>
          <w:tcPr>
            <w:tcW w:w="1838" w:type="dxa"/>
          </w:tcPr>
          <w:p w14:paraId="5A9196F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1E594551"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15C5F24E" w14:textId="77777777" w:rsidTr="005C3651">
        <w:tc>
          <w:tcPr>
            <w:tcW w:w="1838" w:type="dxa"/>
          </w:tcPr>
          <w:p w14:paraId="5ED562FA"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3B43093B"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w:t>
            </w:r>
          </w:p>
        </w:tc>
      </w:tr>
      <w:tr w:rsidR="00E411FE" w:rsidRPr="00E411FE" w14:paraId="0057203A" w14:textId="77777777" w:rsidTr="005C3651">
        <w:tc>
          <w:tcPr>
            <w:tcW w:w="1838" w:type="dxa"/>
          </w:tcPr>
          <w:p w14:paraId="65ED53F4"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5CBAABA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(T2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297BF14B"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sv-SE" w:eastAsia="en-GB"/>
        </w:rPr>
      </w:pPr>
    </w:p>
    <w:p w14:paraId="12E481C6"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5.2B.2.1-2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FR2 </w:t>
      </w:r>
    </w:p>
    <w:tbl>
      <w:tblPr>
        <w:tblStyle w:val="SGSTableBasic11"/>
        <w:tblW w:w="0" w:type="auto"/>
        <w:tblLook w:val="04A0" w:firstRow="1" w:lastRow="0" w:firstColumn="1" w:lastColumn="0" w:noHBand="0" w:noVBand="1"/>
      </w:tblPr>
      <w:tblGrid>
        <w:gridCol w:w="1838"/>
        <w:gridCol w:w="7791"/>
      </w:tblGrid>
      <w:tr w:rsidR="00E411FE" w:rsidRPr="00E411FE" w14:paraId="693F8E2B" w14:textId="77777777" w:rsidTr="005C3651">
        <w:tc>
          <w:tcPr>
            <w:tcW w:w="1838" w:type="dxa"/>
          </w:tcPr>
          <w:p w14:paraId="63533B48"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0B16156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FR2</w:t>
            </w:r>
          </w:p>
        </w:tc>
      </w:tr>
      <w:tr w:rsidR="00E411FE" w:rsidRPr="00E411FE" w14:paraId="2A7955B1" w14:textId="77777777" w:rsidTr="005C3651">
        <w:tc>
          <w:tcPr>
            <w:tcW w:w="1838" w:type="dxa"/>
          </w:tcPr>
          <w:p w14:paraId="463DF69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5229D91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 xml:space="preserve">(T1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w:t>
            </w:r>
          </w:p>
        </w:tc>
      </w:tr>
      <w:tr w:rsidR="00E411FE" w:rsidRPr="00E411FE" w14:paraId="4B120ADD" w14:textId="77777777" w:rsidTr="005C3651">
        <w:tc>
          <w:tcPr>
            <w:tcW w:w="1838" w:type="dxa"/>
          </w:tcPr>
          <w:p w14:paraId="0BD92C1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257D1818"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(T2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0E379854"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05DB9268"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5.2B.2.1-3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FR1 </w:t>
      </w:r>
      <w:proofErr w:type="spellStart"/>
      <w:r w:rsidRPr="00E411FE">
        <w:rPr>
          <w:rFonts w:ascii="Arial" w:eastAsia="Times New Roman" w:hAnsi="Arial"/>
          <w:b/>
          <w:sz w:val="20"/>
          <w:szCs w:val="20"/>
          <w:lang w:val="fr-FR" w:eastAsia="en-GB"/>
        </w:rPr>
        <w:t>with</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eDRX</w:t>
      </w:r>
      <w:proofErr w:type="spellEnd"/>
      <w:r w:rsidRPr="00E411FE">
        <w:rPr>
          <w:rFonts w:ascii="Arial" w:eastAsia="Times New Roman" w:hAnsi="Arial"/>
          <w:b/>
          <w:sz w:val="20"/>
          <w:szCs w:val="20"/>
          <w:lang w:val="fr-FR" w:eastAsia="en-GB"/>
        </w:rPr>
        <w:t xml:space="preserve"> cycle</w:t>
      </w:r>
    </w:p>
    <w:tbl>
      <w:tblPr>
        <w:tblStyle w:val="SGSTableBasic11"/>
        <w:tblW w:w="0" w:type="auto"/>
        <w:tblLook w:val="04A0" w:firstRow="1" w:lastRow="0" w:firstColumn="1" w:lastColumn="0" w:noHBand="0" w:noVBand="1"/>
      </w:tblPr>
      <w:tblGrid>
        <w:gridCol w:w="1838"/>
        <w:gridCol w:w="7791"/>
      </w:tblGrid>
      <w:tr w:rsidR="00E411FE" w:rsidRPr="00E411FE" w14:paraId="4FA7D1F7" w14:textId="77777777" w:rsidTr="005C3651">
        <w:tc>
          <w:tcPr>
            <w:tcW w:w="1838" w:type="dxa"/>
          </w:tcPr>
          <w:p w14:paraId="538C429F"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46E4B95C"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53977BF3" w14:textId="77777777" w:rsidTr="005C3651">
        <w:tc>
          <w:tcPr>
            <w:tcW w:w="1838" w:type="dxa"/>
          </w:tcPr>
          <w:p w14:paraId="742EDEDF"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452911AA" w14:textId="4854766C"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min(640ms, M1* </w:t>
            </w:r>
            <w:del w:id="2"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3"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 xml:space="preserve">(T1 + min(640ms, M1* </w:t>
            </w:r>
            <w:del w:id="4"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5"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w:t>
            </w:r>
          </w:p>
        </w:tc>
      </w:tr>
      <w:tr w:rsidR="00E411FE" w:rsidRPr="00E411FE" w14:paraId="3239DA18" w14:textId="77777777" w:rsidTr="005C3651">
        <w:tc>
          <w:tcPr>
            <w:tcW w:w="1838" w:type="dxa"/>
          </w:tcPr>
          <w:p w14:paraId="757B0745"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0BD2D4C9"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(T2 – min(640ms, M1* </w:t>
            </w:r>
            <w:proofErr w:type="spellStart"/>
            <w:r w:rsidRPr="00E411FE">
              <w:rPr>
                <w:rFonts w:ascii="Arial" w:eastAsia="Times New Roman" w:hAnsi="Arial"/>
                <w:sz w:val="18"/>
                <w:szCs w:val="20"/>
                <w:lang w:val="fr-FR" w:eastAsia="en-GB"/>
              </w:rPr>
              <w:t>T</w:t>
            </w:r>
            <w:r w:rsidRPr="00E411FE">
              <w:rPr>
                <w:rFonts w:ascii="Arial" w:eastAsia="Times New Roman" w:hAnsi="Arial"/>
                <w:sz w:val="18"/>
                <w:szCs w:val="20"/>
                <w:vertAlign w:val="subscript"/>
                <w:lang w:val="fr-FR" w:eastAsia="en-GB"/>
              </w:rPr>
              <w:t>eDRX</w:t>
            </w:r>
            <w:proofErr w:type="spellEnd"/>
            <w:r w:rsidRPr="00E411FE">
              <w:rPr>
                <w:rFonts w:ascii="Arial" w:eastAsia="Times New Roman" w:hAnsi="Arial"/>
                <w:sz w:val="18"/>
                <w:szCs w:val="20"/>
                <w:vertAlign w:val="subscript"/>
                <w:lang w:val="fr-FR" w:eastAsia="en-GB"/>
              </w:rPr>
              <w:t>-RAN</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r w:rsidR="00E411FE" w:rsidRPr="00E411FE" w14:paraId="4E90F276" w14:textId="77777777" w:rsidTr="003100F3">
        <w:trPr>
          <w:ins w:id="6" w:author="Apple, Jerry Cui" w:date="2022-11-01T14:52:00Z"/>
        </w:trPr>
        <w:tc>
          <w:tcPr>
            <w:tcW w:w="9629" w:type="dxa"/>
            <w:gridSpan w:val="2"/>
          </w:tcPr>
          <w:p w14:paraId="4B4FC6F8" w14:textId="36B0B7CA" w:rsidR="00E411FE" w:rsidRPr="00E411FE" w:rsidRDefault="00E411FE">
            <w:pPr>
              <w:keepNext/>
              <w:keepLines/>
              <w:spacing w:before="0" w:beforeAutospacing="0" w:after="0"/>
              <w:rPr>
                <w:ins w:id="7" w:author="Apple, Jerry Cui" w:date="2022-11-01T14:52:00Z"/>
                <w:rFonts w:ascii="Arial" w:eastAsia="Times New Roman" w:hAnsi="Arial"/>
                <w:sz w:val="18"/>
                <w:szCs w:val="18"/>
                <w:lang w:val="fr-FR" w:eastAsia="en-GB"/>
              </w:rPr>
              <w:pPrChange w:id="8" w:author="Apple, Jerry Cui" w:date="2022-11-01T14:52:00Z">
                <w:pPr>
                  <w:keepNext/>
                  <w:keepLines/>
                  <w:spacing w:before="0" w:beforeAutospacing="0" w:after="0"/>
                  <w:jc w:val="center"/>
                </w:pPr>
              </w:pPrChange>
            </w:pPr>
            <w:ins w:id="9" w:author="Apple, Jerry Cui" w:date="2022-11-01T14:52:00Z">
              <w:r w:rsidRPr="00E411FE">
                <w:rPr>
                  <w:rFonts w:ascii="Arial" w:hAnsi="Arial" w:cs="Arial"/>
                  <w:sz w:val="18"/>
                  <w:szCs w:val="18"/>
                </w:rPr>
                <w:t>Note: T is as defined in table 5.1B.2.2-1</w:t>
              </w:r>
            </w:ins>
          </w:p>
        </w:tc>
      </w:tr>
    </w:tbl>
    <w:p w14:paraId="707091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298E9458"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If at least one of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proofErr w:type="gramStart"/>
      <w:r w:rsidRPr="00E411FE">
        <w:rPr>
          <w:rFonts w:eastAsia="Times New Roman"/>
          <w:sz w:val="20"/>
          <w:szCs w:val="20"/>
          <w:lang w:val="en-GB" w:eastAsia="en-GB"/>
        </w:rPr>
        <w:t>is considered to be</w:t>
      </w:r>
      <w:proofErr w:type="gramEnd"/>
      <w:r w:rsidRPr="00E411FE">
        <w:rPr>
          <w:rFonts w:eastAsia="Times New Roman"/>
          <w:sz w:val="20"/>
          <w:szCs w:val="20"/>
          <w:lang w:val="en-GB" w:eastAsia="en-GB"/>
        </w:rPr>
        <w:t xml:space="preserve"> invalid based on the above conditions, then the UE shall not validate the CG-SDT using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r w:rsidRPr="00E411FE">
        <w:rPr>
          <w:rFonts w:eastAsia="Times New Roman"/>
          <w:sz w:val="20"/>
          <w:szCs w:val="20"/>
          <w:lang w:val="en-GB" w:eastAsia="en-GB"/>
        </w:rPr>
        <w:t xml:space="preserve">and shall not transmit using CG-SDT. Additionally, the UE shall not transmit in an CG-SDT occasion that occurs more than [640 </w:t>
      </w:r>
      <w:proofErr w:type="spellStart"/>
      <w:r w:rsidRPr="00E411FE">
        <w:rPr>
          <w:rFonts w:eastAsia="Times New Roman"/>
          <w:sz w:val="20"/>
          <w:szCs w:val="20"/>
          <w:lang w:val="en-GB" w:eastAsia="en-GB"/>
        </w:rPr>
        <w:t>ms</w:t>
      </w:r>
      <w:proofErr w:type="spellEnd"/>
      <w:r w:rsidRPr="00E411FE">
        <w:rPr>
          <w:rFonts w:eastAsia="Times New Roman"/>
          <w:sz w:val="20"/>
          <w:szCs w:val="20"/>
          <w:lang w:val="en-GB" w:eastAsia="en-GB"/>
        </w:rPr>
        <w:t>] after T2.</w:t>
      </w:r>
    </w:p>
    <w:p w14:paraId="5DDDADE3"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Where: </w:t>
      </w:r>
    </w:p>
    <w:p w14:paraId="1C64C6F7"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 xml:space="preserve">T1 is the time when the latest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sz w:val="20"/>
          <w:szCs w:val="20"/>
          <w:lang w:eastAsia="en-GB"/>
        </w:rPr>
        <w:t xml:space="preserve">was obtained by the UE via </w:t>
      </w:r>
      <w:r w:rsidRPr="00E411FE">
        <w:rPr>
          <w:rFonts w:eastAsia="Times New Roman"/>
          <w:noProof/>
          <w:sz w:val="20"/>
          <w:szCs w:val="20"/>
          <w:lang w:val="en-GB" w:eastAsia="en-GB"/>
        </w:rPr>
        <w:t xml:space="preserve">Timing Advance </w:t>
      </w:r>
      <w:r w:rsidRPr="00E411FE">
        <w:rPr>
          <w:rFonts w:eastAsia="Times New Roman"/>
          <w:sz w:val="20"/>
          <w:szCs w:val="20"/>
          <w:lang w:val="en-GB" w:eastAsia="en-GB"/>
        </w:rPr>
        <w:t xml:space="preserve">Command </w:t>
      </w:r>
      <w:r w:rsidRPr="00E411FE">
        <w:rPr>
          <w:rFonts w:eastAsia="Times New Roman"/>
          <w:noProof/>
          <w:sz w:val="20"/>
          <w:szCs w:val="20"/>
          <w:lang w:val="en-GB" w:eastAsia="en-GB"/>
        </w:rPr>
        <w:t>MAC control element</w:t>
      </w:r>
      <w:r w:rsidRPr="00E411FE">
        <w:rPr>
          <w:rFonts w:eastAsia="Times New Roman"/>
          <w:sz w:val="20"/>
          <w:szCs w:val="20"/>
          <w:lang w:eastAsia="en-GB"/>
        </w:rPr>
        <w:t>.</w:t>
      </w:r>
    </w:p>
    <w:p w14:paraId="6131C1FA"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T1’ is the time when the UE has completed RSRP</w:t>
      </w:r>
      <w:r w:rsidRPr="00E411FE">
        <w:rPr>
          <w:rFonts w:eastAsia="Times New Roman"/>
          <w:sz w:val="20"/>
          <w:szCs w:val="20"/>
          <w:vertAlign w:val="subscript"/>
          <w:lang w:eastAsia="en-GB"/>
        </w:rPr>
        <w:t>1</w:t>
      </w:r>
      <w:r w:rsidRPr="00E411FE">
        <w:rPr>
          <w:rFonts w:eastAsia="Times New Roman"/>
          <w:sz w:val="20"/>
          <w:szCs w:val="20"/>
          <w:lang w:eastAsia="en-GB"/>
        </w:rPr>
        <w:t>.</w:t>
      </w:r>
    </w:p>
    <w:p w14:paraId="4CEB8244"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lastRenderedPageBreak/>
        <w:t>-</w:t>
      </w:r>
      <w:r w:rsidRPr="00E411FE">
        <w:rPr>
          <w:rFonts w:eastAsia="Times New Roman"/>
          <w:sz w:val="20"/>
          <w:szCs w:val="20"/>
          <w:lang w:eastAsia="en-GB"/>
        </w:rPr>
        <w:tab/>
        <w:t>T2 is the time when the UE performs TA validation as defined in clause 5.8.2.x in [TS 38.321] for transmission using CG-SDT.</w:t>
      </w:r>
    </w:p>
    <w:p w14:paraId="01F13A8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T2’ is the time when the UE has completed RSRP</w:t>
      </w:r>
      <w:r w:rsidRPr="00E411FE">
        <w:rPr>
          <w:rFonts w:eastAsia="Times New Roman"/>
          <w:sz w:val="20"/>
          <w:szCs w:val="20"/>
          <w:vertAlign w:val="subscript"/>
          <w:lang w:eastAsia="en-GB"/>
        </w:rPr>
        <w:t>2</w:t>
      </w:r>
      <w:r w:rsidRPr="00E411FE">
        <w:rPr>
          <w:rFonts w:eastAsia="Times New Roman"/>
          <w:sz w:val="20"/>
          <w:szCs w:val="20"/>
          <w:lang w:eastAsia="en-GB"/>
        </w:rPr>
        <w:t>.</w:t>
      </w:r>
    </w:p>
    <w:p w14:paraId="1E5E2B80"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w:t>
      </w:r>
      <w:r w:rsidRPr="00E411FE">
        <w:rPr>
          <w:rFonts w:eastAsia="Times New Roman"/>
          <w:sz w:val="20"/>
          <w:szCs w:val="20"/>
          <w:vertAlign w:val="subscript"/>
          <w:lang w:eastAsia="en-GB"/>
        </w:rPr>
        <w:t>DRX</w:t>
      </w:r>
      <w:r w:rsidRPr="00E411FE">
        <w:rPr>
          <w:rFonts w:eastAsia="Times New Roman"/>
          <w:sz w:val="20"/>
          <w:szCs w:val="20"/>
          <w:lang w:eastAsia="en-GB"/>
        </w:rPr>
        <w:t xml:space="preserve"> is the DRX cycle length in </w:t>
      </w:r>
      <w:proofErr w:type="spellStart"/>
      <w:r w:rsidRPr="00E411FE">
        <w:rPr>
          <w:rFonts w:eastAsia="Times New Roman"/>
          <w:sz w:val="20"/>
          <w:szCs w:val="20"/>
          <w:lang w:eastAsia="en-GB"/>
        </w:rPr>
        <w:t>ms.</w:t>
      </w:r>
      <w:proofErr w:type="spellEnd"/>
      <w:r w:rsidRPr="00E411FE">
        <w:rPr>
          <w:rFonts w:eastAsia="Times New Roman"/>
          <w:sz w:val="20"/>
          <w:szCs w:val="20"/>
          <w:lang w:eastAsia="en-GB"/>
        </w:rPr>
        <w:t xml:space="preserve"> </w:t>
      </w:r>
    </w:p>
    <w:p w14:paraId="1DB78FAB"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M1 the scaling factor as defined in clause 4.2.2.2.</w:t>
      </w:r>
    </w:p>
    <w:p w14:paraId="4A77B278" w14:textId="1E501842" w:rsidR="004C0A94" w:rsidRPr="004C0A94" w:rsidRDefault="004C0A94" w:rsidP="004C0A94">
      <w:pPr>
        <w:spacing w:before="0" w:beforeAutospacing="0"/>
        <w:rPr>
          <w:sz w:val="20"/>
          <w:szCs w:val="20"/>
          <w:lang w:val="en-GB" w:eastAsia="en-US"/>
        </w:rPr>
      </w:pPr>
    </w:p>
    <w:p w14:paraId="516E7B8D" w14:textId="17FBCCBA"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411FE">
        <w:rPr>
          <w:rFonts w:ascii="Arial" w:hAnsi="Arial" w:cs="Arial"/>
          <w:noProof/>
          <w:color w:val="FF0000"/>
        </w:rPr>
        <w:t>1</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C83D" w14:textId="77777777" w:rsidR="009B0B91" w:rsidRDefault="009B0B91">
      <w:r>
        <w:separator/>
      </w:r>
    </w:p>
  </w:endnote>
  <w:endnote w:type="continuationSeparator" w:id="0">
    <w:p w14:paraId="1419CCDA" w14:textId="77777777" w:rsidR="009B0B91" w:rsidRDefault="009B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Arial Unicode MS"/>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5BB22" w14:textId="77777777" w:rsidR="009B0B91" w:rsidRDefault="009B0B91">
      <w:r>
        <w:separator/>
      </w:r>
    </w:p>
  </w:footnote>
  <w:footnote w:type="continuationSeparator" w:id="0">
    <w:p w14:paraId="184B9C0F" w14:textId="77777777" w:rsidR="009B0B91" w:rsidRDefault="009B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649871675">
    <w:abstractNumId w:val="14"/>
  </w:num>
  <w:num w:numId="2" w16cid:durableId="1479151603">
    <w:abstractNumId w:val="10"/>
  </w:num>
  <w:num w:numId="3" w16cid:durableId="1329098147">
    <w:abstractNumId w:val="0"/>
  </w:num>
  <w:num w:numId="4" w16cid:durableId="86317754">
    <w:abstractNumId w:val="6"/>
  </w:num>
  <w:num w:numId="5" w16cid:durableId="973175914">
    <w:abstractNumId w:val="7"/>
  </w:num>
  <w:num w:numId="6" w16cid:durableId="1123884780">
    <w:abstractNumId w:val="1"/>
  </w:num>
  <w:num w:numId="7" w16cid:durableId="1439721212">
    <w:abstractNumId w:val="5"/>
  </w:num>
  <w:num w:numId="8" w16cid:durableId="993223647">
    <w:abstractNumId w:val="8"/>
  </w:num>
  <w:num w:numId="9" w16cid:durableId="1544949831">
    <w:abstractNumId w:val="11"/>
  </w:num>
  <w:num w:numId="10" w16cid:durableId="185682757">
    <w:abstractNumId w:val="3"/>
  </w:num>
  <w:num w:numId="11" w16cid:durableId="836309277">
    <w:abstractNumId w:val="15"/>
  </w:num>
  <w:num w:numId="12" w16cid:durableId="402875702">
    <w:abstractNumId w:val="9"/>
  </w:num>
  <w:num w:numId="13" w16cid:durableId="1827550360">
    <w:abstractNumId w:val="12"/>
  </w:num>
  <w:num w:numId="14" w16cid:durableId="1790079588">
    <w:abstractNumId w:val="13"/>
  </w:num>
  <w:num w:numId="15" w16cid:durableId="1651404056">
    <w:abstractNumId w:val="2"/>
  </w:num>
  <w:num w:numId="16" w16cid:durableId="2118408394">
    <w:abstractNumId w:val="16"/>
  </w:num>
  <w:num w:numId="17" w16cid:durableId="400574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11A6F"/>
    <w:rsid w:val="00022E4A"/>
    <w:rsid w:val="00073535"/>
    <w:rsid w:val="0008276B"/>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E41F3"/>
    <w:rsid w:val="00200158"/>
    <w:rsid w:val="00206864"/>
    <w:rsid w:val="00214AE2"/>
    <w:rsid w:val="00244648"/>
    <w:rsid w:val="0026004D"/>
    <w:rsid w:val="002640DD"/>
    <w:rsid w:val="00275D12"/>
    <w:rsid w:val="00284FEB"/>
    <w:rsid w:val="002860C4"/>
    <w:rsid w:val="00296426"/>
    <w:rsid w:val="002A3C52"/>
    <w:rsid w:val="002B5741"/>
    <w:rsid w:val="002E472E"/>
    <w:rsid w:val="00305409"/>
    <w:rsid w:val="00316520"/>
    <w:rsid w:val="003609EF"/>
    <w:rsid w:val="0036231A"/>
    <w:rsid w:val="00374DD4"/>
    <w:rsid w:val="003C2BE5"/>
    <w:rsid w:val="003C6A36"/>
    <w:rsid w:val="003E1A36"/>
    <w:rsid w:val="00410371"/>
    <w:rsid w:val="004242F1"/>
    <w:rsid w:val="00424C61"/>
    <w:rsid w:val="00437D7F"/>
    <w:rsid w:val="00462A90"/>
    <w:rsid w:val="00467847"/>
    <w:rsid w:val="00474020"/>
    <w:rsid w:val="004827C4"/>
    <w:rsid w:val="004B75B7"/>
    <w:rsid w:val="004C0A94"/>
    <w:rsid w:val="004E315B"/>
    <w:rsid w:val="004E381B"/>
    <w:rsid w:val="005141D9"/>
    <w:rsid w:val="0051580D"/>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C47"/>
    <w:rsid w:val="00695808"/>
    <w:rsid w:val="006B46FB"/>
    <w:rsid w:val="006C7352"/>
    <w:rsid w:val="006E21FB"/>
    <w:rsid w:val="006E73B7"/>
    <w:rsid w:val="00734096"/>
    <w:rsid w:val="00742146"/>
    <w:rsid w:val="00755F2A"/>
    <w:rsid w:val="007641D9"/>
    <w:rsid w:val="00774858"/>
    <w:rsid w:val="00792342"/>
    <w:rsid w:val="0079626B"/>
    <w:rsid w:val="007977A8"/>
    <w:rsid w:val="007B512A"/>
    <w:rsid w:val="007C2097"/>
    <w:rsid w:val="007C47E6"/>
    <w:rsid w:val="007D6277"/>
    <w:rsid w:val="007D6A07"/>
    <w:rsid w:val="007F1CD0"/>
    <w:rsid w:val="007F7259"/>
    <w:rsid w:val="008040A8"/>
    <w:rsid w:val="008208D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0B91"/>
    <w:rsid w:val="009B2766"/>
    <w:rsid w:val="009C09BD"/>
    <w:rsid w:val="009D0F21"/>
    <w:rsid w:val="009E0E6F"/>
    <w:rsid w:val="009E3297"/>
    <w:rsid w:val="009F734F"/>
    <w:rsid w:val="00A246B6"/>
    <w:rsid w:val="00A32870"/>
    <w:rsid w:val="00A47E70"/>
    <w:rsid w:val="00A50CF0"/>
    <w:rsid w:val="00A65404"/>
    <w:rsid w:val="00A7671C"/>
    <w:rsid w:val="00AA2CBC"/>
    <w:rsid w:val="00AB71B6"/>
    <w:rsid w:val="00AC091C"/>
    <w:rsid w:val="00AC5820"/>
    <w:rsid w:val="00AD1B16"/>
    <w:rsid w:val="00AD1CD8"/>
    <w:rsid w:val="00AD4EFA"/>
    <w:rsid w:val="00B258BB"/>
    <w:rsid w:val="00B57FCE"/>
    <w:rsid w:val="00B67B97"/>
    <w:rsid w:val="00B82B04"/>
    <w:rsid w:val="00B95CB4"/>
    <w:rsid w:val="00B968C8"/>
    <w:rsid w:val="00BA3EC5"/>
    <w:rsid w:val="00BA51D9"/>
    <w:rsid w:val="00BB5DFC"/>
    <w:rsid w:val="00BD279D"/>
    <w:rsid w:val="00BD6BB8"/>
    <w:rsid w:val="00C37CFC"/>
    <w:rsid w:val="00C66BA2"/>
    <w:rsid w:val="00C772E5"/>
    <w:rsid w:val="00C870F6"/>
    <w:rsid w:val="00C95985"/>
    <w:rsid w:val="00CA5731"/>
    <w:rsid w:val="00CC170A"/>
    <w:rsid w:val="00CC5026"/>
    <w:rsid w:val="00CC68D0"/>
    <w:rsid w:val="00CD5E73"/>
    <w:rsid w:val="00D03F9A"/>
    <w:rsid w:val="00D06D51"/>
    <w:rsid w:val="00D24991"/>
    <w:rsid w:val="00D32733"/>
    <w:rsid w:val="00D50255"/>
    <w:rsid w:val="00D5383F"/>
    <w:rsid w:val="00D66520"/>
    <w:rsid w:val="00D84AE9"/>
    <w:rsid w:val="00DB6C1E"/>
    <w:rsid w:val="00DC354F"/>
    <w:rsid w:val="00DE34CF"/>
    <w:rsid w:val="00DE4792"/>
    <w:rsid w:val="00E13F3D"/>
    <w:rsid w:val="00E34898"/>
    <w:rsid w:val="00E411FE"/>
    <w:rsid w:val="00E95955"/>
    <w:rsid w:val="00EA6F07"/>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uiPriority w:val="9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 w:type="table" w:customStyle="1" w:styleId="SGSTableBasic11">
    <w:name w:val="SGS Table Basic 11"/>
    <w:basedOn w:val="TableNormal"/>
    <w:next w:val="TableGrid"/>
    <w:qFormat/>
    <w:rsid w:val="00E411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97186672">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45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Pages>
  <Words>941</Words>
  <Characters>4908</Characters>
  <Application>Microsoft Office Word</Application>
  <DocSecurity>0</DocSecurity>
  <Lines>196</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5</cp:revision>
  <cp:lastPrinted>1900-01-01T08:00:00Z</cp:lastPrinted>
  <dcterms:created xsi:type="dcterms:W3CDTF">2022-09-30T01:02:00Z</dcterms:created>
  <dcterms:modified xsi:type="dcterms:W3CDTF">2022-11-07T16:47:00Z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